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2"/>
        <w:gridCol w:w="7452"/>
        <w:gridCol w:w="2050"/>
      </w:tblGrid>
      <w:tr w:rsidR="00FE1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36" w:space="0" w:color="FFFF00"/>
              <w:left w:val="single" w:sz="36" w:space="0" w:color="FFFF00"/>
              <w:right w:val="single" w:sz="6" w:space="0" w:color="auto"/>
            </w:tcBorders>
          </w:tcPr>
          <w:p w:rsidR="00FE16F8" w:rsidRPr="00FE16F8" w:rsidRDefault="00FE16F8" w:rsidP="00FE16F8">
            <w:pPr>
              <w:spacing w:before="60" w:after="0"/>
              <w:jc w:val="center"/>
              <w:rPr>
                <w:b/>
              </w:rPr>
            </w:pPr>
            <w:bookmarkStart w:id="0" w:name="_GoBack"/>
            <w:bookmarkEnd w:id="0"/>
            <w:r w:rsidRPr="00FE16F8">
              <w:rPr>
                <w:b/>
              </w:rPr>
              <w:t>Firma:</w:t>
            </w:r>
          </w:p>
        </w:tc>
        <w:tc>
          <w:tcPr>
            <w:tcW w:w="7452" w:type="dxa"/>
            <w:tcBorders>
              <w:top w:val="single" w:sz="36" w:space="0" w:color="FFFF00"/>
              <w:left w:val="single" w:sz="6" w:space="0" w:color="auto"/>
              <w:right w:val="single" w:sz="6" w:space="0" w:color="auto"/>
            </w:tcBorders>
          </w:tcPr>
          <w:p w:rsidR="00FE16F8" w:rsidRDefault="00FE16F8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  <w:spacing w:val="60"/>
                <w:sz w:val="26"/>
              </w:rPr>
              <w:t>MUSTERBETRIEBSANWEISUNG</w:t>
            </w:r>
            <w:r>
              <w:rPr>
                <w:spacing w:val="60"/>
              </w:rPr>
              <w:br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für biologische Arbeitsstoffe</w:t>
            </w:r>
          </w:p>
          <w:p w:rsidR="00FE16F8" w:rsidRDefault="00FE16F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stoffbezogen gemäß § 12(1) BioStoffV</w:t>
            </w:r>
          </w:p>
          <w:p w:rsidR="00FE16F8" w:rsidRDefault="00FE16F8">
            <w:pPr>
              <w:spacing w:before="0" w:after="0"/>
              <w:jc w:val="center"/>
            </w:pPr>
            <w:r>
              <w:t xml:space="preserve">(Erregerbezogene Ergänzung der arbeitsbereichsbezogenen </w:t>
            </w:r>
          </w:p>
          <w:p w:rsidR="00FE16F8" w:rsidRDefault="00FE16F8">
            <w:pPr>
              <w:spacing w:before="0" w:after="0"/>
              <w:jc w:val="center"/>
            </w:pPr>
            <w:r>
              <w:t>Betriebsanwe</w:t>
            </w:r>
            <w:r>
              <w:t>i</w:t>
            </w:r>
            <w:r>
              <w:t>sung für das Labor der Schutzstufe 2)</w:t>
            </w:r>
          </w:p>
        </w:tc>
        <w:tc>
          <w:tcPr>
            <w:tcW w:w="2050" w:type="dxa"/>
            <w:tcBorders>
              <w:top w:val="single" w:sz="36" w:space="0" w:color="FFFF00"/>
              <w:left w:val="single" w:sz="6" w:space="0" w:color="auto"/>
              <w:right w:val="single" w:sz="36" w:space="0" w:color="FFFF00"/>
            </w:tcBorders>
          </w:tcPr>
          <w:p w:rsidR="00FE16F8" w:rsidRPr="00FE16F8" w:rsidRDefault="00FE16F8" w:rsidP="00FE16F8">
            <w:pPr>
              <w:spacing w:before="60" w:after="600"/>
              <w:rPr>
                <w:szCs w:val="22"/>
              </w:rPr>
            </w:pPr>
            <w:r w:rsidRPr="00FE16F8">
              <w:rPr>
                <w:b/>
                <w:szCs w:val="22"/>
              </w:rPr>
              <w:t>Stand</w:t>
            </w:r>
            <w:bookmarkStart w:id="1" w:name="StandDin"/>
            <w:bookmarkEnd w:id="1"/>
            <w:r>
              <w:rPr>
                <w:b/>
                <w:szCs w:val="22"/>
              </w:rPr>
              <w:t>:</w:t>
            </w:r>
          </w:p>
          <w:p w:rsidR="00FE16F8" w:rsidRPr="00FE16F8" w:rsidRDefault="00FE16F8" w:rsidP="00FE16F8">
            <w:pPr>
              <w:spacing w:before="0" w:after="120"/>
              <w:rPr>
                <w:b/>
              </w:rPr>
            </w:pPr>
            <w:r w:rsidRPr="00FE16F8">
              <w:rPr>
                <w:b/>
              </w:rPr>
              <w:t>Unterschrift:</w:t>
            </w:r>
          </w:p>
        </w:tc>
      </w:tr>
      <w:tr w:rsidR="00FE1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4"/>
            <w:tcBorders>
              <w:left w:val="single" w:sz="36" w:space="0" w:color="FFFF00"/>
              <w:right w:val="single" w:sz="36" w:space="0" w:color="FFFF00"/>
            </w:tcBorders>
          </w:tcPr>
          <w:p w:rsidR="00FE16F8" w:rsidRDefault="00FE16F8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GEFAHRENBEZEICHNUNG</w:t>
            </w:r>
          </w:p>
        </w:tc>
      </w:tr>
      <w:tr w:rsidR="00FE1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4"/>
            <w:tcBorders>
              <w:left w:val="single" w:sz="36" w:space="0" w:color="FFFF00"/>
              <w:right w:val="single" w:sz="36" w:space="0" w:color="FFFF00"/>
            </w:tcBorders>
          </w:tcPr>
          <w:p w:rsidR="00FE16F8" w:rsidRDefault="00FE16F8">
            <w:pPr>
              <w:pStyle w:val="Titel"/>
              <w:rPr>
                <w:sz w:val="32"/>
              </w:rPr>
            </w:pPr>
            <w:bookmarkStart w:id="2" w:name="StoffBezeichnung"/>
            <w:bookmarkEnd w:id="2"/>
            <w:r>
              <w:rPr>
                <w:sz w:val="32"/>
              </w:rPr>
              <w:t xml:space="preserve">Tätigkeiten mit </w:t>
            </w:r>
            <w:r w:rsidRPr="00FE16F8">
              <w:rPr>
                <w:i/>
                <w:sz w:val="32"/>
              </w:rPr>
              <w:t>Clostridium tetani</w:t>
            </w:r>
            <w:r>
              <w:rPr>
                <w:sz w:val="32"/>
              </w:rPr>
              <w:t xml:space="preserve"> im Labor</w:t>
            </w:r>
          </w:p>
        </w:tc>
      </w:tr>
      <w:tr w:rsidR="00FE1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4"/>
            <w:tcBorders>
              <w:left w:val="single" w:sz="36" w:space="0" w:color="FFFF00"/>
              <w:right w:val="single" w:sz="36" w:space="0" w:color="FFFF00"/>
            </w:tcBorders>
          </w:tcPr>
          <w:p w:rsidR="00FE16F8" w:rsidRDefault="00FE16F8">
            <w:pPr>
              <w:pStyle w:val="TitelOhne"/>
              <w:shd w:val="clear" w:color="auto" w:fill="FFFF00"/>
              <w:rPr>
                <w:color w:val="000000"/>
              </w:rPr>
            </w:pPr>
            <w:r>
              <w:rPr>
                <w:color w:val="000000"/>
                <w:sz w:val="24"/>
              </w:rPr>
              <w:t>GEFAHREN FÜR MENSCHEN</w:t>
            </w:r>
          </w:p>
        </w:tc>
      </w:tr>
      <w:tr w:rsidR="00FE16F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36" w:space="0" w:color="FFFF00"/>
              <w:right w:val="single" w:sz="6" w:space="0" w:color="000000"/>
            </w:tcBorders>
          </w:tcPr>
          <w:p w:rsidR="00FE16F8" w:rsidRDefault="00FE16F8">
            <w:pPr>
              <w:spacing w:before="0"/>
              <w:rPr>
                <w:noProof/>
              </w:rPr>
            </w:pPr>
          </w:p>
          <w:p w:rsidR="00FE16F8" w:rsidRDefault="00FE16F8">
            <w:pPr>
              <w:spacing w:before="0"/>
              <w:rPr>
                <w:noProof/>
              </w:rPr>
            </w:pPr>
          </w:p>
          <w:p w:rsidR="00FE16F8" w:rsidRDefault="00ED1DFF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5905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3"/>
            <w:tcBorders>
              <w:left w:val="single" w:sz="6" w:space="0" w:color="000000"/>
              <w:right w:val="single" w:sz="36" w:space="0" w:color="FFFF00"/>
            </w:tcBorders>
          </w:tcPr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 w:rsidRPr="00FE16F8">
              <w:rPr>
                <w:b/>
                <w:bCs/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ist ein Bakterium der </w:t>
            </w:r>
            <w:r>
              <w:rPr>
                <w:b/>
                <w:sz w:val="18"/>
              </w:rPr>
              <w:t>Risikogruppe 2</w:t>
            </w:r>
            <w:r w:rsidR="00217362">
              <w:rPr>
                <w:b/>
                <w:sz w:val="18"/>
              </w:rPr>
              <w:t>.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Eine Infektion erfolgt meist durch Stich- und Schnittverletzungen oder über vorg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schädigte Haut. Infektionen sind auch über oberflächliche Wunden möglich.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Bildet unter anaeroben Bedingungen (z.</w:t>
            </w:r>
            <w:r w:rsidR="00217362">
              <w:rPr>
                <w:sz w:val="18"/>
              </w:rPr>
              <w:t xml:space="preserve"> </w:t>
            </w:r>
            <w:r>
              <w:rPr>
                <w:sz w:val="18"/>
              </w:rPr>
              <w:t>B. tiefe, schlecht ausgeblutete Stichverletzungen) Toxine, die den Wundstarrkrampf hervorrufen können (Symptome: Tonisch schmerzhafte Krämpfe der Muskulatur am Nacken, R</w:t>
            </w:r>
            <w:r>
              <w:rPr>
                <w:sz w:val="18"/>
              </w:rPr>
              <w:t>ü</w:t>
            </w:r>
            <w:r>
              <w:rPr>
                <w:sz w:val="18"/>
              </w:rPr>
              <w:t>cken und Bauch, im Spätstad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 xml:space="preserve">um krampfhafte Starre, hohes Fieber). 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Inkubationszeit: 3 Tage bis 3 Wochen.</w:t>
            </w:r>
            <w:r>
              <w:t xml:space="preserve"> </w:t>
            </w:r>
          </w:p>
          <w:p w:rsidR="00FE16F8" w:rsidRDefault="00FE16F8">
            <w:pPr>
              <w:pStyle w:val="BA20-Feld0"/>
              <w:rPr>
                <w:sz w:val="18"/>
              </w:rPr>
            </w:pPr>
          </w:p>
        </w:tc>
      </w:tr>
      <w:tr w:rsidR="00FE1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4"/>
            <w:tcBorders>
              <w:left w:val="single" w:sz="36" w:space="0" w:color="FFFF00"/>
              <w:right w:val="single" w:sz="36" w:space="0" w:color="FFFF00"/>
            </w:tcBorders>
          </w:tcPr>
          <w:p w:rsidR="00FE16F8" w:rsidRDefault="00FE16F8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BESONDERE SCHUTZMASSNAHMEN UND VERHALTENSREGELN</w:t>
            </w:r>
          </w:p>
        </w:tc>
      </w:tr>
      <w:tr w:rsidR="00FE16F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80"/>
        </w:trPr>
        <w:tc>
          <w:tcPr>
            <w:tcW w:w="1064" w:type="dxa"/>
            <w:tcBorders>
              <w:left w:val="single" w:sz="36" w:space="0" w:color="FFFF00"/>
              <w:bottom w:val="single" w:sz="36" w:space="0" w:color="FFFF00"/>
              <w:right w:val="single" w:sz="6" w:space="0" w:color="000000"/>
            </w:tcBorders>
          </w:tcPr>
          <w:p w:rsidR="00FE16F8" w:rsidRDefault="00ED1DFF">
            <w:pPr>
              <w:ind w:left="360" w:hanging="360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F8" w:rsidRDefault="00ED1DFF">
            <w:pPr>
              <w:ind w:left="360" w:hanging="360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F8" w:rsidRDefault="00ED1DFF">
            <w:pPr>
              <w:ind w:left="360" w:hanging="360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6F8" w:rsidRDefault="00ED1DFF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3"/>
            <w:tcBorders>
              <w:left w:val="single" w:sz="6" w:space="0" w:color="000000"/>
              <w:bottom w:val="single" w:sz="36" w:space="0" w:color="FFFF00"/>
              <w:right w:val="single" w:sz="36" w:space="0" w:color="FFFF00"/>
            </w:tcBorders>
          </w:tcPr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Tätigkeiten mit </w:t>
            </w:r>
            <w:r w:rsidRPr="00FE16F8">
              <w:rPr>
                <w:b/>
                <w:bCs/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dürfen ausschließlich im Labor der </w:t>
            </w:r>
            <w:r>
              <w:rPr>
                <w:b/>
                <w:sz w:val="18"/>
              </w:rPr>
              <w:t>Schutzstufe 2</w:t>
            </w:r>
            <w:r>
              <w:rPr>
                <w:sz w:val="18"/>
              </w:rPr>
              <w:t xml:space="preserve"> oder höher durchgeführt werden.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Zusätzlich zu den übergreifenden Schutzmaßnahmen in der arbeitsbereichsbezogenen Betriebsanweisung für das 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Labor der Schutzstufe 2 sind folgende Maßnahmen zu treffen: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Wegen der erhöhten Übertragungsgefahr bei Schnittverletzungen soll auf die Benu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zung von Laborglas, Skalpellen und Kanülen möglichst ve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zichtet werden.</w:t>
            </w:r>
          </w:p>
          <w:p w:rsidR="00FE16F8" w:rsidRDefault="00FE16F8" w:rsidP="00FE16F8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Personen, die Tätigkeiten mit </w:t>
            </w:r>
            <w:r w:rsidRPr="00FE16F8">
              <w:rPr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ausführen, müssen über einen entsprechenden Impfschutz verf</w:t>
            </w:r>
            <w:r>
              <w:rPr>
                <w:sz w:val="18"/>
              </w:rPr>
              <w:t>ü</w:t>
            </w:r>
            <w:r>
              <w:rPr>
                <w:sz w:val="18"/>
              </w:rPr>
              <w:t>gen.</w:t>
            </w:r>
          </w:p>
          <w:p w:rsidR="00FE16F8" w:rsidRDefault="00FE16F8" w:rsidP="00FE16F8">
            <w:pPr>
              <w:pStyle w:val="BA20-Feld0"/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Besondere Vorsichtsmaßnahmen sind beim Umgang mit Zellfragmenten aufgrund des möglichen Vorhandenseins von Tetanus-Toxin anzuwenden. Das isolierte native Toxin ist einer der giftigsten bekannten Stoffe.</w:t>
            </w:r>
          </w:p>
        </w:tc>
      </w:tr>
    </w:tbl>
    <w:p w:rsidR="00FE16F8" w:rsidRDefault="00FE16F8">
      <w:pPr>
        <w:pStyle w:val="Zeichnung"/>
        <w:ind w:left="-142"/>
        <w:jc w:val="left"/>
      </w:pPr>
    </w:p>
    <w:sectPr w:rsidR="00FE16F8" w:rsidSect="00217362">
      <w:pgSz w:w="11907" w:h="16840"/>
      <w:pgMar w:top="851" w:right="397" w:bottom="998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BF2"/>
    <w:multiLevelType w:val="singleLevel"/>
    <w:tmpl w:val="C5DAB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A3708C2"/>
    <w:multiLevelType w:val="singleLevel"/>
    <w:tmpl w:val="57FCD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C3D174D"/>
    <w:multiLevelType w:val="singleLevel"/>
    <w:tmpl w:val="14DA3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C386B3D"/>
    <w:multiLevelType w:val="singleLevel"/>
    <w:tmpl w:val="9BBC0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30"/>
    <w:rsid w:val="00110330"/>
    <w:rsid w:val="00166530"/>
    <w:rsid w:val="00217362"/>
    <w:rsid w:val="008B4B6F"/>
    <w:rsid w:val="00961E2E"/>
    <w:rsid w:val="00ED1DFF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217362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217362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_BA_G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A_BA_GEF.DOT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RCI</dc:title>
  <dc:creator>Dr. Glück</dc:creator>
  <cp:lastModifiedBy>Technik und Medien GmbH</cp:lastModifiedBy>
  <cp:revision>2</cp:revision>
  <cp:lastPrinted>2011-02-21T07:26:00Z</cp:lastPrinted>
  <dcterms:created xsi:type="dcterms:W3CDTF">2019-07-16T08:52:00Z</dcterms:created>
  <dcterms:modified xsi:type="dcterms:W3CDTF">2019-07-16T08:52:00Z</dcterms:modified>
</cp:coreProperties>
</file>